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666666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851"/>
        <w:gridCol w:w="1847"/>
      </w:tblGrid>
      <w:tr w:rsidR="006219AD" w:rsidTr="000962F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9AD" w:rsidRPr="006C33D5" w:rsidRDefault="006219AD" w:rsidP="000962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C33D5">
              <w:rPr>
                <w:sz w:val="28"/>
                <w:szCs w:val="28"/>
              </w:rPr>
              <w:t>10.03.2023</w:t>
            </w:r>
          </w:p>
        </w:tc>
        <w:tc>
          <w:tcPr>
            <w:tcW w:w="5173" w:type="dxa"/>
          </w:tcPr>
          <w:p w:rsidR="006219AD" w:rsidRPr="006C33D5" w:rsidRDefault="006219AD" w:rsidP="000962FC">
            <w:pPr>
              <w:pStyle w:val="a3"/>
              <w:spacing w:line="276" w:lineRule="auto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hideMark/>
          </w:tcPr>
          <w:p w:rsidR="006219AD" w:rsidRPr="006C33D5" w:rsidRDefault="006219AD" w:rsidP="000962F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C33D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9AD" w:rsidRPr="006C33D5" w:rsidRDefault="006219AD" w:rsidP="000962FC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</w:rPr>
            </w:pPr>
            <w:r w:rsidRPr="006C33D5">
              <w:rPr>
                <w:sz w:val="28"/>
                <w:szCs w:val="28"/>
              </w:rPr>
              <w:t>15</w:t>
            </w:r>
          </w:p>
        </w:tc>
      </w:tr>
      <w:tr w:rsidR="006219AD" w:rsidTr="000962FC">
        <w:tc>
          <w:tcPr>
            <w:tcW w:w="9714" w:type="dxa"/>
            <w:gridSpan w:val="4"/>
            <w:hideMark/>
          </w:tcPr>
          <w:p w:rsidR="006219AD" w:rsidRDefault="006219AD" w:rsidP="000962FC">
            <w:pPr>
              <w:pStyle w:val="a3"/>
              <w:tabs>
                <w:tab w:val="left" w:pos="1545"/>
                <w:tab w:val="center" w:pos="4610"/>
              </w:tabs>
              <w:spacing w:line="276" w:lineRule="auto"/>
              <w:jc w:val="left"/>
              <w:rPr>
                <w:szCs w:val="28"/>
              </w:rPr>
            </w:pPr>
            <w:r>
              <w:rPr>
                <w:color w:val="242424"/>
                <w:szCs w:val="28"/>
              </w:rPr>
              <w:tab/>
            </w:r>
            <w:r>
              <w:rPr>
                <w:color w:val="242424"/>
                <w:szCs w:val="28"/>
              </w:rPr>
              <w:tab/>
            </w:r>
            <w:proofErr w:type="gramStart"/>
            <w:r>
              <w:rPr>
                <w:color w:val="242424"/>
                <w:szCs w:val="28"/>
              </w:rPr>
              <w:t>с</w:t>
            </w:r>
            <w:proofErr w:type="gramEnd"/>
            <w:r>
              <w:rPr>
                <w:color w:val="242424"/>
                <w:szCs w:val="28"/>
              </w:rPr>
              <w:t>. Слудка</w:t>
            </w:r>
          </w:p>
        </w:tc>
      </w:tr>
    </w:tbl>
    <w:p w:rsidR="006219AD" w:rsidRDefault="006219AD" w:rsidP="006219AD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ar-SA"/>
        </w:rPr>
      </w:pPr>
    </w:p>
    <w:p w:rsidR="006219AD" w:rsidRDefault="006219AD" w:rsidP="006219A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введении временных ограничений движения транспортных средств по автомобильным дорогам общего пользования местного значения Слудского сельского поселения в весенний период 2023 года</w:t>
      </w:r>
    </w:p>
    <w:p w:rsidR="006219AD" w:rsidRDefault="006219AD" w:rsidP="006219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19AD" w:rsidRDefault="006219AD" w:rsidP="006219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08.11.2007  № 257 –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 статьей 14 Федерального закона  от 10.12.1995  № 196 – ФЗ «О безопасности дорожного движения», на основании постановлением Правительства Кировской области от 28.03.2012  № 145/164  «Об утверждении порядка осуществления временных ограничений или прекращения движения транспортных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средств по автомобильным дорогам общего пользования Кировской области регионального или межмуниципального, местного значения» (с изменениями, внесенными постановление Правительства Кировской области от 06.11.2020 № 597-П), с целью обеспечения сохранности автомобильных дорог общего пользования местного значения Слудского сельского поселения (далее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 элементов автомобильных дорог, вызванных их переувлажнением, администрация Слудского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В целях обеспечения сохранности автомобильных дорог в период весенней распутицы ввести с 17 апреля по 16 мая 2023 года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временное ограничение движения). 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Утвердить предельно допустимые значения нагрузки на каждую ось транспортного средства в 2023 году согласно приложению №1.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Временное ограничение движения не распространяется: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пассажирские перевозки автобусами, в том числе международные; 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перевозку пищевых продуктов, животных, кормов для животных, лекарственных препаратов, горюче-смазочных материалов, семенного фонда, удобрений, почты и почтовых грузов, твердых коммунальных отходов; 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перевозку грузов, необходимых для ликвидации последствий стихийных бедствий или иных чрезвычайных происшествий; 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транспортировку дорожно-строительной и дорожно-эксплуатационной техники и материалов, применяемых для проведения аварийно-восстановительных и ремонтных работ;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передвижение транспортных средств федеральных органов исполнительной власти, в которых федеральным законодательством предусмотрена военная служба;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передвижение крупногабаритной и тяжеловесной специализированной </w:t>
      </w:r>
      <w:proofErr w:type="spellStart"/>
      <w:r>
        <w:rPr>
          <w:rFonts w:ascii="Times New Roman" w:hAnsi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техники.</w:t>
      </w:r>
    </w:p>
    <w:p w:rsidR="006219AD" w:rsidRDefault="006219AD" w:rsidP="0062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руководителям предприятий и организаций, физическим лицам в срок до 17 апреля 2023 года обеспечить завоз на весенний период необходимого количества сырья, материалов, оборудования.</w:t>
      </w:r>
    </w:p>
    <w:p w:rsidR="006219AD" w:rsidRDefault="006219AD" w:rsidP="006219AD">
      <w:pPr>
        <w:pStyle w:val="1"/>
        <w:ind w:firstLine="540"/>
      </w:pPr>
      <w:r>
        <w:t xml:space="preserve">5. </w:t>
      </w:r>
      <w:r w:rsidRPr="00761456">
        <w:t xml:space="preserve">Администрации Слудского сельского поселения опубликовать настоящее </w:t>
      </w:r>
      <w:r>
        <w:t xml:space="preserve">постановление в информационном бюллетене Слудского сельского поселения и </w:t>
      </w:r>
      <w:r w:rsidRPr="00761456">
        <w:t>на официальном сайте муниципального образования Слудское сельское поселение Вятскополянс</w:t>
      </w:r>
      <w:r>
        <w:t xml:space="preserve">кого района Кировской области </w:t>
      </w:r>
      <w:r>
        <w:rPr>
          <w:szCs w:val="28"/>
        </w:rPr>
        <w:t>в сети Интернет.</w:t>
      </w:r>
    </w:p>
    <w:p w:rsidR="006219AD" w:rsidRDefault="006219AD" w:rsidP="006219AD">
      <w:pPr>
        <w:pStyle w:val="1"/>
        <w:ind w:firstLine="540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219AD" w:rsidRDefault="006219AD" w:rsidP="006219AD">
      <w:pPr>
        <w:pStyle w:val="Standard"/>
        <w:suppressAutoHyphens w:val="0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ab/>
      </w:r>
    </w:p>
    <w:p w:rsidR="006219AD" w:rsidRDefault="006219AD" w:rsidP="006219AD">
      <w:pPr>
        <w:pStyle w:val="Standard"/>
        <w:suppressAutoHyphens w:val="0"/>
        <w:jc w:val="both"/>
        <w:rPr>
          <w:rFonts w:cs="Times New Roman"/>
          <w:sz w:val="28"/>
          <w:lang w:val="ru-RU"/>
        </w:rPr>
      </w:pPr>
    </w:p>
    <w:p w:rsidR="006219AD" w:rsidRDefault="006219AD" w:rsidP="006219AD">
      <w:pPr>
        <w:pStyle w:val="Standard"/>
        <w:suppressAutoHyphens w:val="0"/>
        <w:jc w:val="both"/>
        <w:rPr>
          <w:rFonts w:cs="Times New Roman"/>
          <w:sz w:val="28"/>
          <w:lang w:val="ru-RU"/>
        </w:rPr>
      </w:pPr>
    </w:p>
    <w:p w:rsidR="006219AD" w:rsidRDefault="006219AD" w:rsidP="00621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219AD" w:rsidRDefault="006219AD" w:rsidP="006219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Слудского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С.Г. Ржанникова</w:t>
      </w:r>
    </w:p>
    <w:p w:rsidR="006219AD" w:rsidRDefault="006219AD" w:rsidP="006219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219AD" w:rsidRDefault="006219AD" w:rsidP="006219AD">
      <w:pPr>
        <w:pStyle w:val="Standard"/>
        <w:suppressAutoHyphens w:val="0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                                                         </w:t>
      </w: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pStyle w:val="Standard"/>
        <w:tabs>
          <w:tab w:val="left" w:pos="1545"/>
        </w:tabs>
        <w:rPr>
          <w:rFonts w:cs="Times New Roman"/>
          <w:color w:val="000000"/>
          <w:sz w:val="28"/>
          <w:szCs w:val="28"/>
          <w:lang w:val="ru-RU"/>
        </w:rPr>
      </w:pPr>
    </w:p>
    <w:p w:rsidR="006219AD" w:rsidRDefault="006219AD" w:rsidP="006219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Приложение №1</w:t>
      </w:r>
    </w:p>
    <w:p w:rsidR="006219AD" w:rsidRDefault="006219AD" w:rsidP="006219AD">
      <w:pPr>
        <w:tabs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администрации  </w:t>
      </w:r>
    </w:p>
    <w:p w:rsidR="006219AD" w:rsidRDefault="006219AD" w:rsidP="006219AD">
      <w:pPr>
        <w:tabs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Слудского сельского поселения </w:t>
      </w:r>
    </w:p>
    <w:p w:rsidR="006219AD" w:rsidRDefault="006219AD" w:rsidP="006219AD">
      <w:pPr>
        <w:tabs>
          <w:tab w:val="left" w:pos="6180"/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</w:t>
      </w:r>
      <w:r>
        <w:rPr>
          <w:rFonts w:ascii="Times New Roman" w:hAnsi="Times New Roman"/>
          <w:sz w:val="28"/>
          <w:szCs w:val="28"/>
        </w:rPr>
        <w:t>10.03.2023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</w:p>
    <w:p w:rsidR="006219AD" w:rsidRDefault="006219AD" w:rsidP="0062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9AD" w:rsidRDefault="006219AD" w:rsidP="0062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9AD" w:rsidRDefault="006219AD" w:rsidP="006219AD">
      <w:pPr>
        <w:rPr>
          <w:rFonts w:ascii="Times New Roman" w:hAnsi="Times New Roman"/>
        </w:rPr>
      </w:pPr>
    </w:p>
    <w:p w:rsidR="006219AD" w:rsidRDefault="006219AD" w:rsidP="006219A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Предельно допустимые значения </w:t>
      </w:r>
    </w:p>
    <w:p w:rsidR="006219AD" w:rsidRDefault="006219AD" w:rsidP="006219A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нагрузки на каждую ось транспортного средства в 2023 году </w:t>
      </w:r>
    </w:p>
    <w:p w:rsidR="006219AD" w:rsidRDefault="006219AD" w:rsidP="006219AD">
      <w:pPr>
        <w:rPr>
          <w:rFonts w:ascii="Times New Roman" w:hAnsi="Times New Roman"/>
          <w:sz w:val="28"/>
          <w:szCs w:val="28"/>
        </w:rPr>
      </w:pPr>
    </w:p>
    <w:p w:rsidR="006219AD" w:rsidRDefault="006219AD" w:rsidP="006219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3194"/>
        <w:gridCol w:w="3180"/>
      </w:tblGrid>
      <w:tr w:rsidR="006219AD" w:rsidTr="000962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6219AD" w:rsidTr="000962FC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двухосной </w:t>
            </w:r>
          </w:p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тележке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6219AD" w:rsidTr="000962FC">
        <w:trPr>
          <w:trHeight w:val="57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AD" w:rsidRDefault="006219AD" w:rsidP="000962F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:rsidR="006219AD" w:rsidRDefault="006219AD" w:rsidP="006219AD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6219AD" w:rsidRDefault="006219AD" w:rsidP="006219A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015771" w:rsidRDefault="00015771"/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E0"/>
    <w:rsid w:val="00015771"/>
    <w:rsid w:val="006219AD"/>
    <w:rsid w:val="00E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AD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9AD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paragraph" w:customStyle="1" w:styleId="1">
    <w:name w:val="Без интервала1"/>
    <w:rsid w:val="006219AD"/>
    <w:pPr>
      <w:spacing w:after="0" w:line="240" w:lineRule="auto"/>
      <w:jc w:val="both"/>
    </w:pPr>
    <w:rPr>
      <w:rFonts w:eastAsia="Times New Roman"/>
      <w:sz w:val="28"/>
      <w:szCs w:val="20"/>
    </w:rPr>
  </w:style>
  <w:style w:type="paragraph" w:customStyle="1" w:styleId="Standard">
    <w:name w:val="Standard"/>
    <w:rsid w:val="006219AD"/>
    <w:pPr>
      <w:widowControl w:val="0"/>
      <w:suppressAutoHyphens/>
      <w:autoSpaceDN w:val="0"/>
      <w:spacing w:after="0" w:line="240" w:lineRule="auto"/>
    </w:pPr>
    <w:rPr>
      <w:rFonts w:eastAsia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AD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9AD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paragraph" w:customStyle="1" w:styleId="1">
    <w:name w:val="Без интервала1"/>
    <w:rsid w:val="006219AD"/>
    <w:pPr>
      <w:spacing w:after="0" w:line="240" w:lineRule="auto"/>
      <w:jc w:val="both"/>
    </w:pPr>
    <w:rPr>
      <w:rFonts w:eastAsia="Times New Roman"/>
      <w:sz w:val="28"/>
      <w:szCs w:val="20"/>
    </w:rPr>
  </w:style>
  <w:style w:type="paragraph" w:customStyle="1" w:styleId="Standard">
    <w:name w:val="Standard"/>
    <w:rsid w:val="006219AD"/>
    <w:pPr>
      <w:widowControl w:val="0"/>
      <w:suppressAutoHyphens/>
      <w:autoSpaceDN w:val="0"/>
      <w:spacing w:after="0" w:line="240" w:lineRule="auto"/>
    </w:pPr>
    <w:rPr>
      <w:rFonts w:eastAsia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2023-03-27T05:32:00Z</dcterms:created>
  <dcterms:modified xsi:type="dcterms:W3CDTF">2023-03-27T05:33:00Z</dcterms:modified>
</cp:coreProperties>
</file>